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60C" w:rsidRDefault="0068160C" w:rsidP="0068160C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 wp14:anchorId="074B3224" wp14:editId="6ACF4027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160C" w:rsidRPr="008A1E82" w:rsidRDefault="0068160C" w:rsidP="0068160C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68160C" w:rsidRDefault="0068160C" w:rsidP="0068160C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8160C" w:rsidRPr="006B6F91" w:rsidRDefault="0068160C" w:rsidP="0068160C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8160C" w:rsidRPr="006B6F91" w:rsidRDefault="0068160C" w:rsidP="0068160C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8160C" w:rsidRPr="006B6F91" w:rsidRDefault="0068160C" w:rsidP="0068160C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8160C" w:rsidRPr="006B6F91" w:rsidRDefault="0068160C" w:rsidP="0068160C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68160C" w:rsidRPr="00236B94" w:rsidRDefault="0068160C" w:rsidP="0068160C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68160C" w:rsidRDefault="0068160C" w:rsidP="0068160C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68160C" w:rsidRPr="00236B94" w:rsidRDefault="0068160C" w:rsidP="0068160C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68160C" w:rsidRPr="00A22BC9" w:rsidRDefault="0068160C" w:rsidP="0068160C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68160C" w:rsidRPr="00A22BC9" w:rsidRDefault="0068160C" w:rsidP="0068160C">
      <w:pPr>
        <w:rPr>
          <w:rFonts w:ascii="Verdana" w:hAnsi="Verdana"/>
          <w:b/>
          <w:sz w:val="28"/>
          <w:szCs w:val="28"/>
        </w:rPr>
      </w:pPr>
    </w:p>
    <w:p w:rsidR="0068160C" w:rsidRDefault="0068160C" w:rsidP="0068160C">
      <w:pPr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>
        <w:rPr>
          <w:rFonts w:ascii="Verdana" w:hAnsi="Verdana"/>
          <w:b/>
          <w:sz w:val="28"/>
          <w:szCs w:val="28"/>
        </w:rPr>
        <w:t>TECNOLOGIE ELETTRICHE ELETTRONICHE</w:t>
      </w:r>
      <w:r w:rsidRPr="00A22BC9">
        <w:rPr>
          <w:rFonts w:ascii="Verdana" w:hAnsi="Verdana"/>
          <w:b/>
          <w:sz w:val="28"/>
          <w:szCs w:val="28"/>
        </w:rPr>
        <w:t xml:space="preserve"> INDIRIZZO </w:t>
      </w:r>
      <w:r w:rsidRPr="008E0C62">
        <w:rPr>
          <w:rFonts w:ascii="Verdana" w:hAnsi="Verdana"/>
          <w:b/>
          <w:sz w:val="28"/>
          <w:szCs w:val="28"/>
        </w:rPr>
        <w:t>MANUTENZIONE E ASSISTENZA TECNICA</w:t>
      </w:r>
    </w:p>
    <w:p w:rsidR="0068160C" w:rsidRPr="00A22BC9" w:rsidRDefault="0068160C" w:rsidP="0068160C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DI </w:t>
      </w:r>
      <w:r w:rsidRPr="0068160C">
        <w:rPr>
          <w:rFonts w:ascii="Verdana" w:hAnsi="Verdana"/>
          <w:b/>
          <w:color w:val="FF0000"/>
          <w:sz w:val="28"/>
          <w:szCs w:val="28"/>
        </w:rPr>
        <w:t>TECNOLOGIE ELETTRICO-ELETTRONICHE E APPLICAZIONI</w:t>
      </w:r>
    </w:p>
    <w:p w:rsidR="0068160C" w:rsidRPr="00A22BC9" w:rsidRDefault="0068160C" w:rsidP="0068160C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68160C" w:rsidRPr="00A22BC9" w:rsidRDefault="0068160C" w:rsidP="0068160C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Triennio</w:t>
      </w:r>
    </w:p>
    <w:p w:rsidR="0068160C" w:rsidRPr="00A22BC9" w:rsidRDefault="0068160C" w:rsidP="0068160C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97C0E" w:rsidRDefault="00797C0E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97C0E" w:rsidRDefault="00797C0E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97C0E" w:rsidRDefault="00797C0E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97C0E" w:rsidRDefault="00797C0E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365" w:type="dxa"/>
        <w:tblLook w:val="04A0" w:firstRow="1" w:lastRow="0" w:firstColumn="1" w:lastColumn="0" w:noHBand="0" w:noVBand="1"/>
      </w:tblPr>
      <w:tblGrid>
        <w:gridCol w:w="3085"/>
        <w:gridCol w:w="3827"/>
        <w:gridCol w:w="3544"/>
        <w:gridCol w:w="3909"/>
      </w:tblGrid>
      <w:tr w:rsidR="00785AE6" w:rsidRPr="00236B94" w:rsidTr="007025E6">
        <w:tc>
          <w:tcPr>
            <w:tcW w:w="3085" w:type="dxa"/>
            <w:tcBorders>
              <w:bottom w:val="nil"/>
            </w:tcBorders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TRAGUARDO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DELLA COMPETENZA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OBIETTIVI DI APPRENDIMENTO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CONOSCENZE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ABILITA'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4D39" w:rsidRPr="007F59AE" w:rsidTr="007025E6">
        <w:trPr>
          <w:trHeight w:val="5253"/>
        </w:trPr>
        <w:tc>
          <w:tcPr>
            <w:tcW w:w="3085" w:type="dxa"/>
            <w:vMerge w:val="restart"/>
            <w:tcBorders>
              <w:top w:val="nil"/>
              <w:bottom w:val="nil"/>
            </w:tcBorders>
          </w:tcPr>
          <w:p w:rsidR="00704D39" w:rsidRPr="00704D39" w:rsidRDefault="00704D39" w:rsidP="002172B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704D39">
              <w:rPr>
                <w:rFonts w:ascii="Verdana" w:eastAsiaTheme="minorHAnsi" w:hAnsi="Verdana" w:cs="Symbol"/>
                <w:sz w:val="24"/>
                <w:szCs w:val="24"/>
              </w:rPr>
              <w:t>I</w:t>
            </w:r>
            <w:r w:rsidRPr="00704D39">
              <w:rPr>
                <w:rFonts w:ascii="Verdana" w:eastAsiaTheme="minorHAnsi" w:hAnsi="Verdana" w:cs="ArialNarrow"/>
                <w:sz w:val="24"/>
                <w:szCs w:val="24"/>
              </w:rPr>
              <w:t xml:space="preserve">ndividuare i componenti che costituiscono il sistema e i materiali impiegati, allo scopo di intervenire nel montaggio, nella sostituzione dei </w:t>
            </w:r>
            <w:proofErr w:type="gramStart"/>
            <w:r w:rsidRPr="00704D39">
              <w:rPr>
                <w:rFonts w:ascii="Verdana" w:eastAsiaTheme="minorHAnsi" w:hAnsi="Verdana" w:cs="ArialNarrow"/>
                <w:sz w:val="24"/>
                <w:szCs w:val="24"/>
              </w:rPr>
              <w:t>componenti  e</w:t>
            </w:r>
            <w:proofErr w:type="gramEnd"/>
            <w:r w:rsidRPr="00704D39">
              <w:rPr>
                <w:rFonts w:ascii="Verdana" w:eastAsiaTheme="minorHAnsi" w:hAnsi="Verdana" w:cs="ArialNarrow"/>
                <w:sz w:val="24"/>
                <w:szCs w:val="24"/>
              </w:rPr>
              <w:t xml:space="preserve"> delle parti, nel rispetto delle modalità e delle procedure stabilite</w:t>
            </w:r>
          </w:p>
          <w:p w:rsidR="00704D39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  <w:p w:rsidR="007025E6" w:rsidRPr="00704D39" w:rsidRDefault="007025E6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nil"/>
            </w:tcBorders>
          </w:tcPr>
          <w:p w:rsidR="00704D39" w:rsidRDefault="00DC5BD6" w:rsidP="00DC5BD6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DC5BD6">
              <w:rPr>
                <w:rFonts w:ascii="Verdana" w:eastAsiaTheme="minorHAnsi" w:hAnsi="Verdana" w:cs="ArialNarrow"/>
                <w:sz w:val="24"/>
                <w:szCs w:val="24"/>
              </w:rPr>
              <w:lastRenderedPageBreak/>
              <w:t>Comprendere</w:t>
            </w: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 e</w:t>
            </w:r>
            <w:r w:rsidRPr="00DC5BD6">
              <w:rPr>
                <w:rFonts w:ascii="Verdana" w:eastAsiaTheme="minorHAnsi" w:hAnsi="Verdana" w:cs="ArialNarrow"/>
                <w:sz w:val="24"/>
                <w:szCs w:val="24"/>
              </w:rPr>
              <w:t xml:space="preserve"> interpretare </w:t>
            </w:r>
            <w:r w:rsidR="00704D39">
              <w:rPr>
                <w:rFonts w:ascii="Verdana" w:eastAsiaTheme="minorHAnsi" w:hAnsi="Verdana" w:cs="ArialNarrow"/>
                <w:sz w:val="24"/>
                <w:szCs w:val="24"/>
              </w:rPr>
              <w:t>il principio di funzionamento e le caratteristiche costitutive principali della macchina sincrona</w:t>
            </w:r>
          </w:p>
        </w:tc>
        <w:tc>
          <w:tcPr>
            <w:tcW w:w="3544" w:type="dxa"/>
            <w:tcBorders>
              <w:bottom w:val="nil"/>
            </w:tcBorders>
          </w:tcPr>
          <w:p w:rsidR="00704D39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Cenni costruttivi macchina sincrona</w:t>
            </w:r>
          </w:p>
          <w:p w:rsidR="00704D39" w:rsidRDefault="00704D39" w:rsidP="0052084B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Pr="004F56B5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  <w:r w:rsidRPr="004F56B5">
              <w:rPr>
                <w:rFonts w:ascii="Verdana" w:hAnsi="Verdana"/>
                <w:sz w:val="24"/>
                <w:szCs w:val="24"/>
              </w:rPr>
              <w:t>Campo magnetico rotante</w:t>
            </w:r>
          </w:p>
          <w:p w:rsidR="00704D39" w:rsidRPr="004F56B5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4F56B5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Funzionamento macchina sincrona</w:t>
            </w:r>
          </w:p>
          <w:p w:rsidR="00704D39" w:rsidRDefault="00704D39" w:rsidP="0052084B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Pr="00106315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Avviamento macchina </w:t>
            </w:r>
            <w:r w:rsidRPr="00106315">
              <w:rPr>
                <w:rFonts w:ascii="Verdana" w:hAnsi="Verdana"/>
                <w:sz w:val="24"/>
                <w:szCs w:val="24"/>
              </w:rPr>
              <w:t>sincrona</w:t>
            </w:r>
          </w:p>
          <w:p w:rsidR="00704D39" w:rsidRPr="00106315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3725CC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Campi di applicazione delle macchine sincrone</w:t>
            </w:r>
          </w:p>
        </w:tc>
        <w:tc>
          <w:tcPr>
            <w:tcW w:w="3909" w:type="dxa"/>
            <w:tcBorders>
              <w:bottom w:val="nil"/>
            </w:tcBorders>
          </w:tcPr>
          <w:p w:rsidR="00704D39" w:rsidRDefault="00704D39" w:rsidP="00F34703">
            <w:pPr>
              <w:rPr>
                <w:rFonts w:ascii="Verdana" w:hAnsi="Verdana"/>
                <w:sz w:val="24"/>
                <w:szCs w:val="24"/>
              </w:rPr>
            </w:pPr>
            <w:r w:rsidRPr="006B2ED2">
              <w:rPr>
                <w:rFonts w:ascii="Verdana" w:hAnsi="Verdana"/>
                <w:sz w:val="24"/>
                <w:szCs w:val="24"/>
              </w:rPr>
              <w:t xml:space="preserve">Individuare </w:t>
            </w:r>
            <w:r>
              <w:rPr>
                <w:rFonts w:ascii="Verdana" w:hAnsi="Verdana"/>
                <w:sz w:val="24"/>
                <w:szCs w:val="24"/>
              </w:rPr>
              <w:t>le caratteristiche elettriche della macchina sincrona</w:t>
            </w:r>
          </w:p>
          <w:p w:rsidR="00704D39" w:rsidRDefault="00704D39" w:rsidP="00F34703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F34703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 analizzare il funzionamento a vuoto e a carico dell’alternatore</w:t>
            </w:r>
          </w:p>
          <w:p w:rsidR="00704D39" w:rsidRDefault="00704D39" w:rsidP="00F34703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CC0405" w:rsidRDefault="00704D39" w:rsidP="002D116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 analizzare le caratteristiche di magnetizzazione della macchina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sincorona</w:t>
            </w:r>
            <w:proofErr w:type="spellEnd"/>
          </w:p>
        </w:tc>
      </w:tr>
      <w:tr w:rsidR="00704D39" w:rsidRPr="007F59AE" w:rsidTr="007025E6">
        <w:trPr>
          <w:trHeight w:val="3929"/>
        </w:trPr>
        <w:tc>
          <w:tcPr>
            <w:tcW w:w="3085" w:type="dxa"/>
            <w:vMerge/>
            <w:tcBorders>
              <w:bottom w:val="nil"/>
            </w:tcBorders>
          </w:tcPr>
          <w:p w:rsidR="00704D39" w:rsidRPr="00C95B52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Default="00DC5BD6" w:rsidP="00DC5BD6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DC5BD6">
              <w:rPr>
                <w:rFonts w:ascii="Verdana" w:eastAsiaTheme="minorHAnsi" w:hAnsi="Verdana" w:cs="ArialNarrow"/>
                <w:sz w:val="24"/>
                <w:szCs w:val="24"/>
              </w:rPr>
              <w:t>Comprendere</w:t>
            </w: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 e</w:t>
            </w:r>
            <w:r w:rsidRPr="00DC5BD6">
              <w:rPr>
                <w:rFonts w:ascii="Verdana" w:eastAsiaTheme="minorHAnsi" w:hAnsi="Verdana" w:cs="ArialNarrow"/>
                <w:sz w:val="24"/>
                <w:szCs w:val="24"/>
              </w:rPr>
              <w:t xml:space="preserve"> interpretare </w:t>
            </w:r>
            <w:r w:rsidR="00704D39">
              <w:rPr>
                <w:rFonts w:ascii="Verdana" w:eastAsiaTheme="minorHAnsi" w:hAnsi="Verdana" w:cs="ArialNarrow"/>
                <w:sz w:val="24"/>
                <w:szCs w:val="24"/>
              </w:rPr>
              <w:t>il principio di funzionamento e le caratteristiche costitutive principali della macchina in corrente continua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Cenni costruttivi macchina in corrente continua</w:t>
            </w:r>
          </w:p>
          <w:p w:rsidR="00704D39" w:rsidRDefault="00704D39" w:rsidP="006F5A70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Funzionamento macchina in corrente continua</w:t>
            </w:r>
          </w:p>
          <w:p w:rsidR="00704D39" w:rsidRDefault="00704D39" w:rsidP="006F5A70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b/>
                <w:sz w:val="24"/>
                <w:szCs w:val="24"/>
              </w:rPr>
            </w:pPr>
            <w:r w:rsidRPr="00106315">
              <w:rPr>
                <w:rFonts w:ascii="Verdana" w:hAnsi="Verdana"/>
                <w:sz w:val="24"/>
                <w:szCs w:val="24"/>
              </w:rPr>
              <w:t xml:space="preserve">Regolazione velocità macchina </w:t>
            </w:r>
            <w:r>
              <w:rPr>
                <w:rFonts w:ascii="Verdana" w:hAnsi="Verdana"/>
                <w:sz w:val="24"/>
                <w:szCs w:val="24"/>
              </w:rPr>
              <w:t>in corrente continua</w:t>
            </w:r>
          </w:p>
          <w:p w:rsidR="00704D39" w:rsidRDefault="00704D39" w:rsidP="0052084B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Campi di applicazione delle macchine in corrente continua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 w:rsidRPr="006B2ED2">
              <w:rPr>
                <w:rFonts w:ascii="Verdana" w:hAnsi="Verdana"/>
                <w:sz w:val="24"/>
                <w:szCs w:val="24"/>
              </w:rPr>
              <w:t xml:space="preserve">Individuare </w:t>
            </w:r>
            <w:r>
              <w:rPr>
                <w:rFonts w:ascii="Verdana" w:hAnsi="Verdana"/>
                <w:sz w:val="24"/>
                <w:szCs w:val="24"/>
              </w:rPr>
              <w:t>le caratteristiche elettriche della macchina in corrente continua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utilizzare la macchina in corrente continua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6B2ED2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regolare la velocità della macchina in corrente continua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6B2ED2" w:rsidRDefault="00704D39" w:rsidP="00F34703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704D39" w:rsidRPr="007F59AE" w:rsidTr="007025E6">
        <w:trPr>
          <w:trHeight w:val="3929"/>
        </w:trPr>
        <w:tc>
          <w:tcPr>
            <w:tcW w:w="3085" w:type="dxa"/>
            <w:vMerge/>
            <w:tcBorders>
              <w:bottom w:val="nil"/>
            </w:tcBorders>
          </w:tcPr>
          <w:p w:rsidR="00704D39" w:rsidRPr="00C95B52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Default="00704D39" w:rsidP="00D7323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utilizzare il BJT come interruttore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Conoscere il funzionamento del BJT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Curve caratteristiche tensione – corrente in ingresso e in uscita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Polarizzazione di ingresso e di uscita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Punto di lavoro e retta di carico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L’amplificazione statica di corrente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Le zone di saturazione e di interdizione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polarizzare un transistore in funzionamento da interruttore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6B2ED2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ricavare informazioni utili dai manuali tecnici</w:t>
            </w:r>
          </w:p>
        </w:tc>
      </w:tr>
      <w:tr w:rsidR="00704D39" w:rsidRPr="007F59AE" w:rsidTr="007025E6">
        <w:trPr>
          <w:trHeight w:val="3929"/>
        </w:trPr>
        <w:tc>
          <w:tcPr>
            <w:tcW w:w="3085" w:type="dxa"/>
            <w:vMerge/>
            <w:tcBorders>
              <w:bottom w:val="nil"/>
            </w:tcBorders>
          </w:tcPr>
          <w:p w:rsidR="00704D39" w:rsidRPr="00C95B52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Default="00DC5BD6" w:rsidP="00DC5BD6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DC5BD6">
              <w:rPr>
                <w:rFonts w:ascii="Verdana" w:hAnsi="Verdana"/>
                <w:sz w:val="24"/>
                <w:szCs w:val="24"/>
              </w:rPr>
              <w:t>Comprendere</w:t>
            </w:r>
            <w:r>
              <w:rPr>
                <w:rFonts w:ascii="Verdana" w:hAnsi="Verdana"/>
                <w:sz w:val="24"/>
                <w:szCs w:val="24"/>
              </w:rPr>
              <w:t xml:space="preserve"> e</w:t>
            </w:r>
            <w:r w:rsidRPr="00DC5BD6">
              <w:rPr>
                <w:rFonts w:ascii="Verdana" w:hAnsi="Verdana"/>
                <w:sz w:val="24"/>
                <w:szCs w:val="24"/>
              </w:rPr>
              <w:t xml:space="preserve"> interpretare </w:t>
            </w:r>
            <w:r w:rsidR="00704D39" w:rsidRPr="005225F0">
              <w:rPr>
                <w:rFonts w:ascii="Verdana" w:hAnsi="Verdana"/>
                <w:sz w:val="24"/>
                <w:szCs w:val="24"/>
              </w:rPr>
              <w:t xml:space="preserve">il concetto di amplificazione e saper utilizzare il </w:t>
            </w:r>
            <w:proofErr w:type="spellStart"/>
            <w:r w:rsidR="00704D39" w:rsidRPr="005225F0">
              <w:rPr>
                <w:rFonts w:ascii="Verdana" w:hAnsi="Verdana"/>
                <w:sz w:val="24"/>
                <w:szCs w:val="24"/>
              </w:rPr>
              <w:t>bjt</w:t>
            </w:r>
            <w:proofErr w:type="spellEnd"/>
            <w:r w:rsidR="00704D39" w:rsidRPr="005225F0">
              <w:rPr>
                <w:rFonts w:ascii="Verdana" w:hAnsi="Verdana"/>
                <w:sz w:val="24"/>
                <w:szCs w:val="24"/>
              </w:rPr>
              <w:t xml:space="preserve"> come amplificatore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Pr="00FB4457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>Amplificazione di tensione e di corrente e di potenza</w:t>
            </w:r>
          </w:p>
          <w:p w:rsidR="00704D39" w:rsidRPr="00FB4457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 xml:space="preserve">Polarizzazione del </w:t>
            </w:r>
            <w:proofErr w:type="spellStart"/>
            <w:r w:rsidRPr="00FB4457">
              <w:rPr>
                <w:rFonts w:ascii="Verdana" w:hAnsi="Verdana"/>
                <w:sz w:val="24"/>
                <w:szCs w:val="24"/>
              </w:rPr>
              <w:t>bjt</w:t>
            </w:r>
            <w:proofErr w:type="spellEnd"/>
            <w:r w:rsidRPr="00FB4457">
              <w:rPr>
                <w:rFonts w:ascii="Verdana" w:hAnsi="Verdana"/>
                <w:sz w:val="24"/>
                <w:szCs w:val="24"/>
              </w:rPr>
              <w:t xml:space="preserve"> come amplificatore</w:t>
            </w:r>
          </w:p>
          <w:p w:rsidR="00704D39" w:rsidRPr="00FB4457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>La zona attiva</w:t>
            </w:r>
          </w:p>
          <w:p w:rsidR="00704D39" w:rsidRPr="00FB4457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>L’oscilloscopio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Pr="00FB4457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>Saper cosa si intende con il termine polarizzazione di un transistore</w:t>
            </w:r>
            <w:r>
              <w:rPr>
                <w:rFonts w:ascii="Verdana" w:hAnsi="Verdana"/>
                <w:sz w:val="24"/>
                <w:szCs w:val="24"/>
              </w:rPr>
              <w:t xml:space="preserve"> in zona attiva</w:t>
            </w:r>
            <w:r w:rsidRPr="00FB4457">
              <w:rPr>
                <w:rFonts w:ascii="Verdana" w:hAnsi="Verdana"/>
                <w:sz w:val="24"/>
                <w:szCs w:val="24"/>
              </w:rPr>
              <w:t>.</w:t>
            </w:r>
          </w:p>
          <w:p w:rsidR="00704D39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 w:rsidRPr="00FB4457">
              <w:rPr>
                <w:rFonts w:ascii="Verdana" w:hAnsi="Verdana"/>
                <w:sz w:val="24"/>
                <w:szCs w:val="24"/>
              </w:rPr>
              <w:t>Sapere ricavare informazioni utili dai manuali tecnici</w:t>
            </w:r>
          </w:p>
          <w:p w:rsidR="00704D39" w:rsidRDefault="00704D39" w:rsidP="006F5A70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704D39" w:rsidRPr="007F59AE" w:rsidTr="007025E6">
        <w:trPr>
          <w:trHeight w:val="1407"/>
        </w:trPr>
        <w:tc>
          <w:tcPr>
            <w:tcW w:w="3085" w:type="dxa"/>
            <w:vMerge/>
            <w:tcBorders>
              <w:bottom w:val="nil"/>
            </w:tcBorders>
          </w:tcPr>
          <w:p w:rsidR="00704D39" w:rsidRPr="00C95B52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Pr="005225F0" w:rsidRDefault="00704D39" w:rsidP="005225F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interpretare il funzionamento e le caratteristiche dei principali trasduttori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Pr="001B41BD" w:rsidRDefault="00704D39" w:rsidP="0062264B">
            <w:pPr>
              <w:rPr>
                <w:rFonts w:ascii="Verdana" w:hAnsi="Verdana"/>
                <w:sz w:val="24"/>
                <w:szCs w:val="24"/>
              </w:rPr>
            </w:pPr>
            <w:r w:rsidRPr="001B41BD">
              <w:rPr>
                <w:rFonts w:ascii="Verdana" w:hAnsi="Verdana"/>
                <w:sz w:val="24"/>
                <w:szCs w:val="24"/>
              </w:rPr>
              <w:t>Parametri caratteristici dei trasduttori</w:t>
            </w:r>
          </w:p>
          <w:p w:rsidR="00704D39" w:rsidRDefault="00704D39" w:rsidP="0062264B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Default="00704D39" w:rsidP="0062264B">
            <w:pPr>
              <w:rPr>
                <w:rFonts w:ascii="Verdana" w:hAnsi="Verdana"/>
                <w:sz w:val="24"/>
                <w:szCs w:val="24"/>
              </w:rPr>
            </w:pPr>
            <w:r w:rsidRPr="001B41BD">
              <w:rPr>
                <w:rFonts w:ascii="Verdana" w:hAnsi="Verdana"/>
                <w:sz w:val="24"/>
                <w:szCs w:val="24"/>
              </w:rPr>
              <w:t>Principali tipi di trasduttori</w:t>
            </w:r>
          </w:p>
          <w:p w:rsidR="00704D39" w:rsidRDefault="00704D39" w:rsidP="0062264B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  <w:r w:rsidRPr="006B2ED2">
              <w:rPr>
                <w:rFonts w:ascii="Verdana" w:hAnsi="Verdana"/>
                <w:sz w:val="24"/>
                <w:szCs w:val="24"/>
              </w:rPr>
              <w:t xml:space="preserve">Individuare </w:t>
            </w:r>
            <w:r>
              <w:rPr>
                <w:rFonts w:ascii="Verdana" w:hAnsi="Verdana"/>
                <w:sz w:val="24"/>
                <w:szCs w:val="24"/>
              </w:rPr>
              <w:t>le caratteristiche elettriche dei principali trasduttori</w:t>
            </w:r>
          </w:p>
        </w:tc>
      </w:tr>
      <w:tr w:rsidR="00704D39" w:rsidRPr="007F59AE" w:rsidTr="007025E6">
        <w:trPr>
          <w:trHeight w:val="3109"/>
        </w:trPr>
        <w:tc>
          <w:tcPr>
            <w:tcW w:w="3085" w:type="dxa"/>
            <w:vMerge/>
            <w:tcBorders>
              <w:bottom w:val="nil"/>
            </w:tcBorders>
          </w:tcPr>
          <w:p w:rsidR="00704D39" w:rsidRPr="00C95B52" w:rsidRDefault="00704D39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Default="00704D39" w:rsidP="009A0FAE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Sapere utilizzare i sistemi di acquisizione e trasmissione dati 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Pr="00474676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r w:rsidRPr="00474676">
              <w:rPr>
                <w:rFonts w:ascii="Verdana" w:hAnsi="Verdana"/>
                <w:sz w:val="24"/>
                <w:szCs w:val="24"/>
              </w:rPr>
              <w:t>Principi di funzionamento e</w:t>
            </w:r>
          </w:p>
          <w:p w:rsidR="00704D39" w:rsidRPr="00474676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474676">
              <w:rPr>
                <w:rFonts w:ascii="Verdana" w:hAnsi="Verdana"/>
                <w:sz w:val="24"/>
                <w:szCs w:val="24"/>
              </w:rPr>
              <w:t>caratteristiche</w:t>
            </w:r>
            <w:proofErr w:type="gramEnd"/>
            <w:r w:rsidRPr="00474676">
              <w:rPr>
                <w:rFonts w:ascii="Verdana" w:hAnsi="Verdana"/>
                <w:sz w:val="24"/>
                <w:szCs w:val="24"/>
              </w:rPr>
              <w:t xml:space="preserve"> tecniche dei</w:t>
            </w:r>
          </w:p>
          <w:p w:rsidR="00704D39" w:rsidRPr="00474676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474676">
              <w:rPr>
                <w:rFonts w:ascii="Verdana" w:hAnsi="Verdana"/>
                <w:sz w:val="24"/>
                <w:szCs w:val="24"/>
              </w:rPr>
              <w:t>convertitori</w:t>
            </w:r>
            <w:proofErr w:type="gramEnd"/>
            <w:r w:rsidRPr="00474676">
              <w:rPr>
                <w:rFonts w:ascii="Verdana" w:hAnsi="Verdana"/>
                <w:sz w:val="24"/>
                <w:szCs w:val="24"/>
              </w:rPr>
              <w:t xml:space="preserve"> analogico-digitali e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474676">
              <w:rPr>
                <w:rFonts w:ascii="Verdana" w:hAnsi="Verdana"/>
                <w:sz w:val="24"/>
                <w:szCs w:val="24"/>
              </w:rPr>
              <w:t>digitali-analogici.</w:t>
            </w:r>
          </w:p>
          <w:p w:rsidR="00704D39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r w:rsidRPr="00474676">
              <w:rPr>
                <w:rFonts w:ascii="Verdana" w:hAnsi="Verdana"/>
                <w:sz w:val="24"/>
                <w:szCs w:val="24"/>
              </w:rPr>
              <w:t>Campionamento.</w:t>
            </w:r>
          </w:p>
          <w:p w:rsidR="00704D39" w:rsidRPr="00474676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Le principali tecniche di trasmissione dati</w:t>
            </w:r>
          </w:p>
          <w:p w:rsidR="00704D39" w:rsidRPr="001B41BD" w:rsidRDefault="00704D39" w:rsidP="00474676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I principali tipi di attuatori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62264B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 individuare le caratteristiche dei convertitori di segnali</w:t>
            </w:r>
          </w:p>
          <w:p w:rsidR="00704D39" w:rsidRDefault="00704D39" w:rsidP="005D10F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 riconoscere gli effetti del campionamento di un segnale.</w:t>
            </w:r>
          </w:p>
          <w:p w:rsidR="00704D39" w:rsidRPr="006B2ED2" w:rsidRDefault="00704D39" w:rsidP="005D10F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realizzare semplici sistemi di acquisizione e trasmissione dati</w:t>
            </w:r>
          </w:p>
        </w:tc>
      </w:tr>
      <w:tr w:rsidR="00704D39" w:rsidRPr="007F59AE" w:rsidTr="007025E6">
        <w:tc>
          <w:tcPr>
            <w:tcW w:w="3085" w:type="dxa"/>
            <w:vMerge/>
            <w:tcBorders>
              <w:bottom w:val="nil"/>
            </w:tcBorders>
          </w:tcPr>
          <w:p w:rsidR="00704D39" w:rsidRDefault="00704D39" w:rsidP="006E5B32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Default="00704D39" w:rsidP="006E5B3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Possedere una panoramica generale sui componenti per l’elettronica di potenza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Pr="008642B4" w:rsidRDefault="00704D39" w:rsidP="00F932D3">
            <w:pPr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8642B4">
              <w:rPr>
                <w:rFonts w:ascii="Verdana" w:eastAsiaTheme="minorHAnsi" w:hAnsi="Verdana" w:cs="ArialNarrow"/>
                <w:sz w:val="24"/>
                <w:szCs w:val="24"/>
              </w:rPr>
              <w:t xml:space="preserve">Diodi, Tiristori, </w:t>
            </w:r>
          </w:p>
          <w:p w:rsidR="00704D39" w:rsidRDefault="00704D39" w:rsidP="00F932D3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Semplici raddrizzatori monofase </w:t>
            </w:r>
          </w:p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Pr="00E83D9A" w:rsidRDefault="00704D39" w:rsidP="002D116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Inverter monofase 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  <w:r w:rsidRPr="006B2ED2">
              <w:rPr>
                <w:rFonts w:ascii="Verdana" w:hAnsi="Verdana"/>
                <w:sz w:val="24"/>
                <w:szCs w:val="24"/>
              </w:rPr>
              <w:t xml:space="preserve">Individuare </w:t>
            </w:r>
            <w:r>
              <w:rPr>
                <w:rFonts w:ascii="Verdana" w:hAnsi="Verdana"/>
                <w:sz w:val="24"/>
                <w:szCs w:val="24"/>
              </w:rPr>
              <w:t>le caratteristiche dei principali componenti elettronici</w:t>
            </w:r>
          </w:p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utilizzare semplici raddrizzatori e inverter</w:t>
            </w:r>
          </w:p>
          <w:p w:rsidR="00704D39" w:rsidRDefault="00704D39" w:rsidP="00F932D3">
            <w:pPr>
              <w:rPr>
                <w:rFonts w:ascii="Verdana" w:hAnsi="Verdana"/>
                <w:sz w:val="24"/>
                <w:szCs w:val="24"/>
              </w:rPr>
            </w:pPr>
          </w:p>
          <w:p w:rsidR="00704D39" w:rsidRDefault="00704D39" w:rsidP="006E5B32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704D39" w:rsidRPr="007F59AE" w:rsidTr="007025E6">
        <w:tc>
          <w:tcPr>
            <w:tcW w:w="3085" w:type="dxa"/>
            <w:vMerge w:val="restart"/>
            <w:tcBorders>
              <w:top w:val="nil"/>
            </w:tcBorders>
          </w:tcPr>
          <w:p w:rsidR="00704D39" w:rsidRDefault="00704D39" w:rsidP="007169C0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704D39" w:rsidRPr="00BA536B" w:rsidRDefault="00DC5BD6" w:rsidP="007169C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 </w:t>
            </w:r>
            <w:proofErr w:type="gramStart"/>
            <w:r>
              <w:rPr>
                <w:rFonts w:ascii="Verdana" w:hAnsi="Verdana"/>
                <w:sz w:val="24"/>
                <w:szCs w:val="24"/>
              </w:rPr>
              <w:t xml:space="preserve">applicare </w:t>
            </w:r>
            <w:r w:rsidR="00704D39" w:rsidRPr="00BA536B">
              <w:rPr>
                <w:rFonts w:ascii="Verdana" w:hAnsi="Verdana"/>
                <w:sz w:val="24"/>
                <w:szCs w:val="24"/>
              </w:rPr>
              <w:t xml:space="preserve"> le</w:t>
            </w:r>
            <w:proofErr w:type="gramEnd"/>
            <w:r w:rsidR="00704D39" w:rsidRPr="00BA536B">
              <w:rPr>
                <w:rFonts w:ascii="Verdana" w:hAnsi="Verdana"/>
                <w:sz w:val="24"/>
                <w:szCs w:val="24"/>
              </w:rPr>
              <w:t xml:space="preserve"> fondamentali applicazioni</w:t>
            </w:r>
            <w:r w:rsidR="00704D39">
              <w:rPr>
                <w:rFonts w:ascii="Verdana" w:hAnsi="Verdana"/>
                <w:sz w:val="24"/>
                <w:szCs w:val="24"/>
              </w:rPr>
              <w:t xml:space="preserve"> lineari e non lineari</w:t>
            </w:r>
            <w:r w:rsidR="00704D39" w:rsidRPr="00BA536B">
              <w:rPr>
                <w:rFonts w:ascii="Verdana" w:hAnsi="Verdana"/>
                <w:sz w:val="24"/>
                <w:szCs w:val="24"/>
              </w:rPr>
              <w:t xml:space="preserve"> degli A.O. nei circuiti.</w:t>
            </w:r>
          </w:p>
          <w:p w:rsidR="00704D39" w:rsidRDefault="00704D39" w:rsidP="007169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704D39" w:rsidRPr="00BA536B" w:rsidRDefault="00704D39" w:rsidP="007169C0">
            <w:pPr>
              <w:rPr>
                <w:rFonts w:ascii="Verdana" w:hAnsi="Verdana"/>
                <w:sz w:val="24"/>
                <w:szCs w:val="24"/>
              </w:rPr>
            </w:pPr>
            <w:r w:rsidRPr="00BA536B">
              <w:rPr>
                <w:rFonts w:ascii="Verdana" w:hAnsi="Verdana"/>
                <w:sz w:val="24"/>
                <w:szCs w:val="24"/>
              </w:rPr>
              <w:t>Amplificatore operazionale ideale.</w:t>
            </w:r>
          </w:p>
          <w:p w:rsidR="00704D39" w:rsidRPr="00BA536B" w:rsidRDefault="00704D39" w:rsidP="007169C0">
            <w:pPr>
              <w:rPr>
                <w:rFonts w:ascii="Verdana" w:hAnsi="Verdana"/>
                <w:sz w:val="24"/>
                <w:szCs w:val="24"/>
              </w:rPr>
            </w:pPr>
            <w:r w:rsidRPr="00BA536B">
              <w:rPr>
                <w:rFonts w:ascii="Verdana" w:hAnsi="Verdana"/>
                <w:sz w:val="24"/>
                <w:szCs w:val="24"/>
              </w:rPr>
              <w:t>Caratteristiche degli A.O. reali</w:t>
            </w:r>
          </w:p>
          <w:p w:rsidR="00704D39" w:rsidRPr="00BA536B" w:rsidRDefault="00704D39" w:rsidP="00152DE9">
            <w:pPr>
              <w:rPr>
                <w:rFonts w:ascii="Verdana" w:hAnsi="Verdana"/>
                <w:sz w:val="24"/>
                <w:szCs w:val="24"/>
              </w:rPr>
            </w:pPr>
            <w:r w:rsidRPr="00BA536B">
              <w:rPr>
                <w:rFonts w:ascii="Verdana" w:hAnsi="Verdana"/>
                <w:sz w:val="24"/>
                <w:szCs w:val="24"/>
              </w:rPr>
              <w:t>Principali configurazioni: invertente, non invertente, inseguitore, convertitore tensione corrente, convertitore corrente tensione, amplifi</w:t>
            </w:r>
            <w:r>
              <w:rPr>
                <w:rFonts w:ascii="Verdana" w:hAnsi="Verdana"/>
                <w:sz w:val="24"/>
                <w:szCs w:val="24"/>
              </w:rPr>
              <w:t>catore di corrente, sommatore. Comparatori, generatori di forme d’onda con AO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704D39" w:rsidRDefault="00704D39" w:rsidP="007169C0">
            <w:pPr>
              <w:jc w:val="both"/>
              <w:rPr>
                <w:rFonts w:ascii="Verdana" w:hAnsi="Verdana"/>
                <w:sz w:val="24"/>
                <w:szCs w:val="24"/>
              </w:rPr>
            </w:pPr>
            <w:r w:rsidRPr="00BA536B">
              <w:rPr>
                <w:rFonts w:ascii="Verdana" w:hAnsi="Verdana"/>
                <w:sz w:val="24"/>
                <w:szCs w:val="24"/>
              </w:rPr>
              <w:t>Saper desumer</w:t>
            </w:r>
            <w:r>
              <w:rPr>
                <w:rFonts w:ascii="Verdana" w:hAnsi="Verdana"/>
                <w:sz w:val="24"/>
                <w:szCs w:val="24"/>
              </w:rPr>
              <w:t>e</w:t>
            </w:r>
            <w:r w:rsidRPr="00BA536B">
              <w:rPr>
                <w:rFonts w:ascii="Verdana" w:hAnsi="Verdana"/>
                <w:sz w:val="24"/>
                <w:szCs w:val="24"/>
              </w:rPr>
              <w:t xml:space="preserve"> le caratteristiche degli A.O. dai </w:t>
            </w:r>
            <w:proofErr w:type="spellStart"/>
            <w:r w:rsidRPr="00BA536B">
              <w:rPr>
                <w:rFonts w:ascii="Verdana" w:hAnsi="Verdana"/>
                <w:sz w:val="24"/>
                <w:szCs w:val="24"/>
              </w:rPr>
              <w:t>datasheet</w:t>
            </w:r>
            <w:proofErr w:type="spellEnd"/>
            <w:r w:rsidRPr="00BA536B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704D39" w:rsidRPr="00BA536B" w:rsidRDefault="00704D39" w:rsidP="007169C0">
            <w:pPr>
              <w:jc w:val="both"/>
              <w:rPr>
                <w:rFonts w:ascii="Verdana" w:hAnsi="Verdana"/>
                <w:sz w:val="24"/>
                <w:szCs w:val="24"/>
              </w:rPr>
            </w:pPr>
            <w:r w:rsidRPr="00BA536B">
              <w:rPr>
                <w:rFonts w:ascii="Verdana" w:hAnsi="Verdana"/>
                <w:sz w:val="24"/>
                <w:szCs w:val="24"/>
              </w:rPr>
              <w:t>Saper utilizzare un A.O. nelle configurazioni tipiche</w:t>
            </w:r>
          </w:p>
          <w:p w:rsidR="00704D39" w:rsidRDefault="00704D39" w:rsidP="007169C0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704D39" w:rsidRPr="00B42FFE" w:rsidRDefault="00704D39" w:rsidP="007169C0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704D39" w:rsidRPr="007F59AE" w:rsidTr="007025E6">
        <w:tc>
          <w:tcPr>
            <w:tcW w:w="3085" w:type="dxa"/>
            <w:vMerge/>
          </w:tcPr>
          <w:p w:rsidR="00704D39" w:rsidRDefault="00704D39" w:rsidP="00B52024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Assemblare e configurare personal computer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Caratteristiche dei sistemi operativi installabili su un personal computer.</w:t>
            </w:r>
          </w:p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Caratteristiche tecniche e grado di compatibilità dei diversi componenti hardware costituenti un personal computer</w:t>
            </w:r>
          </w:p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 xml:space="preserve">Gestione delle licenze software </w:t>
            </w:r>
          </w:p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Procedure per la gestione della sicurezza in locale e in rete</w:t>
            </w:r>
          </w:p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704D39" w:rsidRDefault="00704D39" w:rsidP="00B52024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Tecniche e strumenti di assemblaggio di un personal computer</w:t>
            </w:r>
          </w:p>
        </w:tc>
        <w:tc>
          <w:tcPr>
            <w:tcW w:w="3909" w:type="dxa"/>
            <w:tcBorders>
              <w:top w:val="nil"/>
              <w:bottom w:val="single" w:sz="4" w:space="0" w:color="auto"/>
            </w:tcBorders>
          </w:tcPr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Utilizzare tecniche di assemblaggio dei componenti hardware di un personal computer</w:t>
            </w: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 xml:space="preserve">Applicare metodi di configurazione del personal computer </w:t>
            </w: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Utilizzare tecniche di installazione del sistema operativo e i software applicativi stand-alone</w:t>
            </w:r>
          </w:p>
          <w:p w:rsidR="00704D39" w:rsidRPr="00B52024" w:rsidRDefault="00704D39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Applicare metodi di configurazione per la sicurezza del sistema a livello locale</w:t>
            </w:r>
          </w:p>
          <w:p w:rsidR="00704D39" w:rsidRPr="006B2ED2" w:rsidRDefault="00704D39" w:rsidP="00B52024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B52024">
              <w:rPr>
                <w:rFonts w:ascii="Verdana" w:eastAsiaTheme="minorHAnsi" w:hAnsi="Verdana" w:cs="ArialNarrow"/>
                <w:sz w:val="24"/>
                <w:szCs w:val="24"/>
              </w:rPr>
              <w:t>Applicare metodi di test hardware e software</w:t>
            </w:r>
          </w:p>
        </w:tc>
      </w:tr>
      <w:tr w:rsidR="00B73AA8" w:rsidRPr="007F59AE" w:rsidTr="007025E6">
        <w:tc>
          <w:tcPr>
            <w:tcW w:w="3085" w:type="dxa"/>
            <w:vMerge w:val="restart"/>
          </w:tcPr>
          <w:p w:rsidR="00B73AA8" w:rsidRPr="00B73AA8" w:rsidRDefault="00B73AA8" w:rsidP="007F6AA7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73AA8">
              <w:rPr>
                <w:rFonts w:ascii="Verdana" w:eastAsiaTheme="minorHAnsi" w:hAnsi="Verdana" w:cs="ArialNarrow"/>
                <w:sz w:val="24"/>
                <w:szCs w:val="24"/>
              </w:rPr>
              <w:t>Utilizzare correttamente strumenti di misura, controllo e diagnosi, eseguire le regolazioni del sistema e delle procedure stabilite</w:t>
            </w:r>
          </w:p>
        </w:tc>
        <w:tc>
          <w:tcPr>
            <w:tcW w:w="3827" w:type="dxa"/>
            <w:tcBorders>
              <w:bottom w:val="nil"/>
            </w:tcBorders>
          </w:tcPr>
          <w:p w:rsidR="00B73AA8" w:rsidRDefault="00B73AA8" w:rsidP="002D11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Possedere una panoramica generale sulle misurazioni per circuiti in cc e </w:t>
            </w:r>
            <w:proofErr w:type="spellStart"/>
            <w:r>
              <w:rPr>
                <w:rFonts w:ascii="Verdana" w:eastAsiaTheme="minorHAnsi" w:hAnsi="Verdana" w:cs="ArialNarrow"/>
                <w:sz w:val="24"/>
                <w:szCs w:val="24"/>
              </w:rPr>
              <w:t>ac</w:t>
            </w:r>
            <w:proofErr w:type="spellEnd"/>
          </w:p>
        </w:tc>
        <w:tc>
          <w:tcPr>
            <w:tcW w:w="3544" w:type="dxa"/>
            <w:tcBorders>
              <w:bottom w:val="nil"/>
            </w:tcBorders>
          </w:tcPr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r w:rsidRPr="00E83D9A">
              <w:rPr>
                <w:rFonts w:ascii="Verdana" w:hAnsi="Verdana"/>
                <w:sz w:val="24"/>
                <w:szCs w:val="24"/>
              </w:rPr>
              <w:t xml:space="preserve">Misure di potenza </w:t>
            </w: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Pr="00E83D9A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bottom w:val="nil"/>
            </w:tcBorders>
          </w:tcPr>
          <w:p w:rsidR="00B73AA8" w:rsidRPr="00C95B52" w:rsidRDefault="00B73AA8" w:rsidP="002D1162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Sapere effettuare misure di potenza in cc e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ac</w:t>
            </w:r>
            <w:proofErr w:type="spellEnd"/>
          </w:p>
        </w:tc>
      </w:tr>
      <w:tr w:rsidR="00B73AA8" w:rsidRPr="007F59AE" w:rsidTr="007025E6">
        <w:tc>
          <w:tcPr>
            <w:tcW w:w="3085" w:type="dxa"/>
            <w:vMerge/>
          </w:tcPr>
          <w:p w:rsidR="00B73AA8" w:rsidRDefault="00B73AA8" w:rsidP="00B52024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B73AA8" w:rsidRDefault="00B73AA8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Possedere una panoramica generale sulle misurazioni su amplificatori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Misure di amplificazione</w:t>
            </w: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misure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della banda passante</w:t>
            </w: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oscilloscopio</w:t>
            </w:r>
            <w:proofErr w:type="gramEnd"/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 </w:t>
            </w:r>
            <w:proofErr w:type="gramStart"/>
            <w:r>
              <w:rPr>
                <w:rFonts w:ascii="Verdana" w:hAnsi="Verdana"/>
                <w:sz w:val="24"/>
                <w:szCs w:val="24"/>
              </w:rPr>
              <w:t>effettuare  le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misure con riferimento alle principali configurazioni di circuiti amplificatori a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bjt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 xml:space="preserve"> e con AO</w:t>
            </w:r>
          </w:p>
          <w:p w:rsidR="00B73AA8" w:rsidRPr="00B42FFE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B73AA8" w:rsidRPr="007F59AE" w:rsidTr="007025E6">
        <w:tc>
          <w:tcPr>
            <w:tcW w:w="3085" w:type="dxa"/>
            <w:vMerge/>
          </w:tcPr>
          <w:p w:rsidR="00B73AA8" w:rsidRDefault="00B73AA8" w:rsidP="00B52024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B73AA8" w:rsidRDefault="00B73AA8" w:rsidP="002D11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Possedere una panoramica generale sulle misurazioni per le macchine sincrone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B73AA8" w:rsidRDefault="00B73AA8" w:rsidP="002D116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Prova a vuoto di un alternatore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verificare con misure il corretto funzionamento della macchina sincrona</w:t>
            </w: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B73AA8" w:rsidRPr="007F59AE" w:rsidTr="007025E6">
        <w:tc>
          <w:tcPr>
            <w:tcW w:w="3085" w:type="dxa"/>
            <w:vMerge/>
          </w:tcPr>
          <w:p w:rsidR="00B73AA8" w:rsidRDefault="00B73AA8" w:rsidP="00B52024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B73AA8" w:rsidRDefault="00B73AA8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Possedere una panoramica generale sulle misurazioni per la macchina in corrente continua</w:t>
            </w:r>
          </w:p>
          <w:p w:rsidR="00B73AA8" w:rsidRDefault="00B73AA8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B73AA8" w:rsidRDefault="00B73AA8" w:rsidP="002D116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Rilievo caratteristica di una macchina in corrente 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B73AA8" w:rsidRDefault="00B73AA8" w:rsidP="002D116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rilevare la caratteristica meccanica di un motore in corrente continua</w:t>
            </w:r>
          </w:p>
        </w:tc>
      </w:tr>
      <w:tr w:rsidR="00B73AA8" w:rsidRPr="007F59AE" w:rsidTr="007025E6">
        <w:tc>
          <w:tcPr>
            <w:tcW w:w="3085" w:type="dxa"/>
            <w:vMerge/>
          </w:tcPr>
          <w:p w:rsidR="00B73AA8" w:rsidRDefault="00B73AA8" w:rsidP="00B52024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B73AA8" w:rsidRDefault="00B73AA8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Utilizzare strumenti di controllo per apparati ed impianti </w:t>
            </w:r>
          </w:p>
          <w:p w:rsidR="00B73AA8" w:rsidRDefault="00B73AA8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Uso della retroazione, sistemi di regolazione e controllo</w:t>
            </w: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B73AA8" w:rsidRDefault="00B73AA8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single" w:sz="4" w:space="0" w:color="auto"/>
            </w:tcBorders>
          </w:tcPr>
          <w:p w:rsidR="00B73AA8" w:rsidRDefault="00B73AA8" w:rsidP="00785AE6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scegliere e u</w:t>
            </w:r>
            <w:r w:rsidRPr="005A1A79">
              <w:rPr>
                <w:rFonts w:ascii="Verdana" w:hAnsi="Verdana"/>
                <w:sz w:val="24"/>
                <w:szCs w:val="24"/>
              </w:rPr>
              <w:t xml:space="preserve">tilizzare </w:t>
            </w:r>
            <w:r>
              <w:rPr>
                <w:rFonts w:ascii="Verdana" w:hAnsi="Verdana"/>
                <w:sz w:val="24"/>
                <w:szCs w:val="24"/>
              </w:rPr>
              <w:t>gli strumenti di misura per circuiti in corrente continua e corrente alternata</w:t>
            </w:r>
          </w:p>
        </w:tc>
      </w:tr>
      <w:tr w:rsidR="00785AE6" w:rsidRPr="007F59AE" w:rsidTr="007025E6">
        <w:trPr>
          <w:trHeight w:val="56"/>
        </w:trPr>
        <w:tc>
          <w:tcPr>
            <w:tcW w:w="3085" w:type="dxa"/>
            <w:vMerge w:val="restart"/>
          </w:tcPr>
          <w:p w:rsidR="00B52024" w:rsidRPr="00B73AA8" w:rsidRDefault="002172B3" w:rsidP="008E0A59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 w:rsidRPr="00B73AA8">
              <w:rPr>
                <w:rFonts w:ascii="Verdana" w:eastAsiaTheme="minorHAnsi" w:hAnsi="Verdana" w:cs="ArialNarrow"/>
                <w:sz w:val="24"/>
                <w:szCs w:val="24"/>
              </w:rPr>
              <w:t>11</w:t>
            </w:r>
            <w:r w:rsidR="00B52024" w:rsidRPr="00B73AA8">
              <w:rPr>
                <w:rFonts w:ascii="Verdana" w:eastAsiaTheme="minorHAnsi" w:hAnsi="Verdana" w:cs="ArialNarrow"/>
                <w:sz w:val="24"/>
                <w:szCs w:val="24"/>
              </w:rPr>
              <w:t>Utilizzare</w:t>
            </w:r>
            <w:r w:rsidR="008E0A59" w:rsidRPr="00B73AA8">
              <w:rPr>
                <w:rFonts w:ascii="Verdana" w:eastAsiaTheme="minorHAnsi" w:hAnsi="Verdana" w:cs="ArialNarrow"/>
                <w:sz w:val="24"/>
                <w:szCs w:val="24"/>
              </w:rPr>
              <w:t>, attraverso la conoscenza e l’applicazione della normativa sulla sicurezza, strumenti e tecnologie specifiche</w:t>
            </w: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utilizzare le normative sulla sicurezza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</w:tcPr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Norme relative alla sicurezza</w:t>
            </w:r>
          </w:p>
        </w:tc>
        <w:tc>
          <w:tcPr>
            <w:tcW w:w="3909" w:type="dxa"/>
            <w:tcBorders>
              <w:top w:val="single" w:sz="4" w:space="0" w:color="auto"/>
              <w:bottom w:val="nil"/>
            </w:tcBorders>
          </w:tcPr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Applicare le normative concernenti la sicurezza</w:t>
            </w:r>
          </w:p>
          <w:p w:rsidR="00B52024" w:rsidRPr="00C95B52" w:rsidRDefault="00B52024" w:rsidP="00B52024">
            <w:pPr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85AE6" w:rsidRPr="007F59AE" w:rsidTr="007025E6">
        <w:tc>
          <w:tcPr>
            <w:tcW w:w="3085" w:type="dxa"/>
            <w:vMerge/>
          </w:tcPr>
          <w:p w:rsidR="00B52024" w:rsidRPr="00C95B52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individuare i diversi effetti della corrente elettrica sul corpo umano</w:t>
            </w:r>
          </w:p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 w:rsidRPr="001E6A9F">
              <w:rPr>
                <w:rFonts w:ascii="Verdana" w:hAnsi="Verdana"/>
                <w:sz w:val="24"/>
                <w:szCs w:val="24"/>
              </w:rPr>
              <w:t xml:space="preserve">Curve </w:t>
            </w:r>
            <w:r>
              <w:rPr>
                <w:rFonts w:ascii="Verdana" w:hAnsi="Verdana"/>
                <w:sz w:val="24"/>
                <w:szCs w:val="24"/>
              </w:rPr>
              <w:t>e zone di pericolosità della corrente</w:t>
            </w:r>
          </w:p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Sistemi di distribuzione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Individuare gli elementi per la </w:t>
            </w:r>
            <w:r w:rsidRPr="007025E6">
              <w:rPr>
                <w:rFonts w:ascii="Verdana" w:hAnsi="Verdana"/>
                <w:sz w:val="24"/>
                <w:szCs w:val="24"/>
              </w:rPr>
              <w:t>protezione del corpo umano deg</w:t>
            </w:r>
            <w:r>
              <w:rPr>
                <w:rFonts w:ascii="Verdana" w:hAnsi="Verdana"/>
                <w:sz w:val="24"/>
                <w:szCs w:val="24"/>
              </w:rPr>
              <w:t>li effetti della corrente</w:t>
            </w:r>
          </w:p>
        </w:tc>
      </w:tr>
      <w:tr w:rsidR="00785AE6" w:rsidRPr="007F59AE" w:rsidTr="007025E6">
        <w:tc>
          <w:tcPr>
            <w:tcW w:w="3085" w:type="dxa"/>
            <w:vMerge/>
          </w:tcPr>
          <w:p w:rsidR="00B52024" w:rsidRPr="00C95B52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Definire ed individuare correttamente le varie parti di un impianto di protezione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B52024" w:rsidRPr="001E6A9F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Protezione dai contatti diretti ed indiretti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 w:rsidRPr="00944869">
              <w:rPr>
                <w:rFonts w:ascii="Verdana" w:hAnsi="Verdana"/>
                <w:sz w:val="24"/>
                <w:szCs w:val="24"/>
              </w:rPr>
              <w:t>Individuare</w:t>
            </w:r>
            <w:r>
              <w:rPr>
                <w:rFonts w:ascii="Verdana" w:hAnsi="Verdana"/>
                <w:sz w:val="24"/>
                <w:szCs w:val="24"/>
              </w:rPr>
              <w:t xml:space="preserve"> gli elementi per la protezione dell’equipaggiamento elettrico delle macchine e degli impianti</w:t>
            </w:r>
          </w:p>
        </w:tc>
      </w:tr>
      <w:tr w:rsidR="00785AE6" w:rsidRPr="007F59AE" w:rsidTr="007025E6">
        <w:tc>
          <w:tcPr>
            <w:tcW w:w="3085" w:type="dxa"/>
            <w:vMerge/>
          </w:tcPr>
          <w:p w:rsidR="00B52024" w:rsidRPr="00C95B52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Valutare la pericolosità delle sovracorrenti e delle sovratensioni e sapere predisporre le misure di protezione</w:t>
            </w:r>
          </w:p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B52024" w:rsidRPr="001E6A9F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Protezione dalle sovracorrenti</w:t>
            </w:r>
          </w:p>
          <w:p w:rsidR="00B52024" w:rsidRDefault="00B52024" w:rsidP="00B52024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 w:rsidRPr="000E57C3">
              <w:rPr>
                <w:rFonts w:ascii="Verdana" w:hAnsi="Verdana"/>
                <w:sz w:val="24"/>
                <w:szCs w:val="24"/>
              </w:rPr>
              <w:t>Protezione dalle sovratensioni</w:t>
            </w:r>
          </w:p>
        </w:tc>
        <w:tc>
          <w:tcPr>
            <w:tcW w:w="3909" w:type="dxa"/>
            <w:tcBorders>
              <w:top w:val="nil"/>
            </w:tcBorders>
          </w:tcPr>
          <w:p w:rsidR="00B52024" w:rsidRPr="00944869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Assumere comportamenti sicuri nelle attività di manutenzione e prescriverli agli utenti dei relativi apparati e impianti</w:t>
            </w:r>
          </w:p>
        </w:tc>
      </w:tr>
      <w:tr w:rsidR="00785AE6" w:rsidRPr="007F59AE" w:rsidTr="007025E6">
        <w:tc>
          <w:tcPr>
            <w:tcW w:w="3085" w:type="dxa"/>
          </w:tcPr>
          <w:p w:rsidR="00B52024" w:rsidRPr="00B73AA8" w:rsidRDefault="00B52024" w:rsidP="00B52024">
            <w:pPr>
              <w:pStyle w:val="Paragrafoelenco"/>
              <w:ind w:left="0"/>
              <w:rPr>
                <w:rFonts w:ascii="Verdana" w:hAnsi="Verdana"/>
                <w:sz w:val="24"/>
                <w:szCs w:val="24"/>
                <w:lang w:eastAsia="it-IT"/>
              </w:rPr>
            </w:pPr>
            <w:r w:rsidRPr="00B73AA8">
              <w:rPr>
                <w:rFonts w:ascii="Verdana" w:hAnsi="Verdana"/>
                <w:sz w:val="24"/>
                <w:szCs w:val="24"/>
                <w:lang w:eastAsia="it-IT"/>
              </w:rPr>
              <w:t xml:space="preserve">Analizzare il valore, i limiti e i rischi delle varie </w:t>
            </w:r>
            <w:proofErr w:type="gramStart"/>
            <w:r w:rsidRPr="00B73AA8">
              <w:rPr>
                <w:rFonts w:ascii="Verdana" w:hAnsi="Verdana"/>
                <w:sz w:val="24"/>
                <w:szCs w:val="24"/>
                <w:lang w:eastAsia="it-IT"/>
              </w:rPr>
              <w:t>soluzioni  tecniche</w:t>
            </w:r>
            <w:proofErr w:type="gramEnd"/>
            <w:r w:rsidRPr="00B73AA8">
              <w:rPr>
                <w:rFonts w:ascii="Verdana" w:hAnsi="Verdana"/>
                <w:sz w:val="24"/>
                <w:szCs w:val="24"/>
                <w:lang w:eastAsia="it-IT"/>
              </w:rPr>
              <w:t xml:space="preserve"> per la vita sociale e culturale con particolare attenzione alla sicurezza nei luoghi di vita e di lavoro, alla tutela della persona, dell’ambiente e del territorio.</w:t>
            </w:r>
          </w:p>
          <w:p w:rsidR="00B52024" w:rsidRPr="00B73AA8" w:rsidRDefault="00B52024" w:rsidP="00B52024">
            <w:pPr>
              <w:pStyle w:val="Paragrafoelenco"/>
              <w:ind w:left="0"/>
              <w:rPr>
                <w:rFonts w:ascii="Verdana" w:hAnsi="Verdana"/>
                <w:sz w:val="24"/>
                <w:szCs w:val="24"/>
                <w:lang w:eastAsia="it-IT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Definire ed individuare correttamente le varie parti di un impianto </w:t>
            </w:r>
            <w:r w:rsidR="00B73AA8">
              <w:rPr>
                <w:rFonts w:ascii="Verdana" w:eastAsiaTheme="minorHAnsi" w:hAnsi="Verdana" w:cs="ArialNarrow"/>
                <w:sz w:val="24"/>
                <w:szCs w:val="24"/>
              </w:rPr>
              <w:t>elettrico di un mezzo di trasporto</w:t>
            </w:r>
          </w:p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  <w:p w:rsidR="00B52024" w:rsidRDefault="00B52024" w:rsidP="00B5202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B52024" w:rsidRPr="00561489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Cenni </w:t>
            </w:r>
            <w:r w:rsidR="00B73AA8">
              <w:rPr>
                <w:rFonts w:ascii="Verdana" w:hAnsi="Verdana"/>
                <w:sz w:val="24"/>
                <w:szCs w:val="24"/>
              </w:rPr>
              <w:t>sugli accumulatori</w:t>
            </w:r>
          </w:p>
          <w:p w:rsidR="00B52024" w:rsidRDefault="00B52024" w:rsidP="00B52024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Produzione energia </w:t>
            </w:r>
            <w:r w:rsidR="00B73AA8">
              <w:rPr>
                <w:rFonts w:ascii="Verdana" w:hAnsi="Verdana"/>
                <w:sz w:val="24"/>
                <w:szCs w:val="24"/>
              </w:rPr>
              <w:t>in un mezzo di trasporto</w:t>
            </w: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</w:tcPr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 w:rsidRPr="006B2ED2">
              <w:rPr>
                <w:rFonts w:ascii="Verdana" w:hAnsi="Verdana"/>
                <w:sz w:val="24"/>
                <w:szCs w:val="24"/>
              </w:rPr>
              <w:t xml:space="preserve">Individuare </w:t>
            </w:r>
            <w:r>
              <w:rPr>
                <w:rFonts w:ascii="Verdana" w:hAnsi="Verdana"/>
                <w:sz w:val="24"/>
                <w:szCs w:val="24"/>
              </w:rPr>
              <w:t xml:space="preserve">le caratteristiche elettriche degli impianti </w:t>
            </w:r>
            <w:r w:rsidR="00B73AA8">
              <w:rPr>
                <w:rFonts w:ascii="Verdana" w:hAnsi="Verdana"/>
                <w:sz w:val="24"/>
                <w:szCs w:val="24"/>
              </w:rPr>
              <w:t>elettrici presenti nei mezzi di trasporto</w:t>
            </w: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valutare e comprendere i principali agenti inquinanti</w:t>
            </w: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B52024" w:rsidRPr="00C95B52" w:rsidRDefault="00B52024" w:rsidP="00B5202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785AE6" w:rsidRPr="007F59AE" w:rsidTr="007025E6">
        <w:tc>
          <w:tcPr>
            <w:tcW w:w="3085" w:type="dxa"/>
          </w:tcPr>
          <w:p w:rsidR="00B52024" w:rsidRPr="00B73AA8" w:rsidRDefault="00B52024" w:rsidP="002172B3">
            <w:pPr>
              <w:jc w:val="both"/>
              <w:rPr>
                <w:rFonts w:ascii="Verdana" w:hAnsi="Verdana"/>
                <w:sz w:val="24"/>
                <w:szCs w:val="24"/>
              </w:rPr>
            </w:pPr>
            <w:r w:rsidRPr="00B73AA8">
              <w:rPr>
                <w:rFonts w:ascii="Verdana" w:hAnsi="Verdana"/>
                <w:sz w:val="24"/>
                <w:szCs w:val="24"/>
              </w:rPr>
              <w:t xml:space="preserve">Utilizzare la documentazione tecnica prevista dalla normativa per garantire la corretta funzionalità di apparecchiature, impianti e sistemi tecnici </w:t>
            </w:r>
            <w:r w:rsidR="002172B3" w:rsidRPr="00B73AA8">
              <w:rPr>
                <w:rFonts w:ascii="Verdana" w:hAnsi="Verdana"/>
                <w:sz w:val="24"/>
                <w:szCs w:val="24"/>
              </w:rPr>
              <w:t xml:space="preserve">per i quali cura la </w:t>
            </w:r>
            <w:proofErr w:type="spellStart"/>
            <w:r w:rsidR="002172B3" w:rsidRPr="00B73AA8">
              <w:rPr>
                <w:rFonts w:ascii="Verdana" w:hAnsi="Verdana"/>
                <w:sz w:val="24"/>
                <w:szCs w:val="24"/>
              </w:rPr>
              <w:t>maunutenzione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B52024" w:rsidRPr="00C95B52" w:rsidRDefault="00B52024" w:rsidP="00B52024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utilizzare le normative tecniche di settore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Normative e tecniche per dismissione, riciclo e smaltimento residui di lavorazione</w:t>
            </w: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B52024" w:rsidRPr="00C95B52" w:rsidRDefault="00B52024" w:rsidP="00B52024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Lessico di settore, anche in lingua inglese</w:t>
            </w:r>
          </w:p>
        </w:tc>
        <w:tc>
          <w:tcPr>
            <w:tcW w:w="3909" w:type="dxa"/>
            <w:tcBorders>
              <w:top w:val="single" w:sz="4" w:space="0" w:color="auto"/>
            </w:tcBorders>
          </w:tcPr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Individuare i documenti relativi agli impianti e alle macchine, la gestione delle versioni e degli aggiornamenti evolutivi nel loro ciclo di vita</w:t>
            </w: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B52024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Utilizzare il lessico di settore, anche in lingua inglese</w:t>
            </w:r>
          </w:p>
          <w:p w:rsidR="00B52024" w:rsidRPr="00C95B52" w:rsidRDefault="00B52024" w:rsidP="00B520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  <w:tr w:rsidR="00785AE6" w:rsidRPr="002E4BE8" w:rsidTr="00B76D54">
        <w:trPr>
          <w:trHeight w:val="56"/>
        </w:trPr>
        <w:tc>
          <w:tcPr>
            <w:tcW w:w="3085" w:type="dxa"/>
          </w:tcPr>
          <w:p w:rsidR="00785AE6" w:rsidRPr="002E4BE8" w:rsidRDefault="00785AE6" w:rsidP="00785AE6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B73AA8">
              <w:rPr>
                <w:rFonts w:ascii="Verdana" w:eastAsiaTheme="minorHAnsi" w:hAnsi="Verdana" w:cs="ArialNarrow"/>
                <w:sz w:val="24"/>
                <w:szCs w:val="24"/>
              </w:rPr>
              <w:t>Gestire le esigenze del committente, reperire risorse tecniche e tecnologiche per offrire servizi efficaci ed economicamente correlati alle richieste</w:t>
            </w:r>
          </w:p>
        </w:tc>
        <w:tc>
          <w:tcPr>
            <w:tcW w:w="3827" w:type="dxa"/>
          </w:tcPr>
          <w:p w:rsidR="00785AE6" w:rsidRPr="00876917" w:rsidRDefault="00876917" w:rsidP="00B52024">
            <w:pPr>
              <w:ind w:left="34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876917">
              <w:rPr>
                <w:rFonts w:ascii="Verdana" w:eastAsiaTheme="minorHAnsi" w:hAnsi="Verdana" w:cs="ArialNarrow"/>
                <w:sz w:val="24"/>
                <w:szCs w:val="24"/>
              </w:rPr>
              <w:t xml:space="preserve">Saper operare nella gestione dei servizi, anche valutando i costi e l’economicità degli interventi. </w:t>
            </w:r>
          </w:p>
          <w:p w:rsidR="00785AE6" w:rsidRPr="002E4BE8" w:rsidRDefault="00785AE6" w:rsidP="00B52024">
            <w:pPr>
              <w:ind w:left="34"/>
              <w:rPr>
                <w:rFonts w:ascii="Verdana" w:hAnsi="Verdana"/>
                <w:sz w:val="24"/>
                <w:szCs w:val="24"/>
              </w:rPr>
            </w:pPr>
          </w:p>
          <w:p w:rsidR="00785AE6" w:rsidRPr="00876917" w:rsidRDefault="00876917" w:rsidP="00B52024">
            <w:pPr>
              <w:ind w:left="34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 g</w:t>
            </w:r>
            <w:r w:rsidRPr="00876917">
              <w:rPr>
                <w:rFonts w:ascii="Verdana" w:eastAsiaTheme="minorHAnsi" w:hAnsi="Verdana" w:cs="ArialNarrow"/>
                <w:sz w:val="24"/>
                <w:szCs w:val="24"/>
              </w:rPr>
              <w:t>arantire e certificare la messa a punto a regola d’arte del mezzo di trasporto e degli impianti relativi, collaborando alle fasi di installazione, collaudo ed assistenza tecnica degli utenti</w:t>
            </w:r>
          </w:p>
          <w:p w:rsidR="00785AE6" w:rsidRPr="002E4BE8" w:rsidRDefault="00785AE6" w:rsidP="00B52024">
            <w:pPr>
              <w:ind w:left="34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44" w:type="dxa"/>
          </w:tcPr>
          <w:p w:rsidR="00876917" w:rsidRP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N</w:t>
            </w:r>
            <w:r w:rsidRPr="002B79F8">
              <w:rPr>
                <w:rFonts w:ascii="Verdana" w:hAnsi="Verdana"/>
                <w:sz w:val="24"/>
                <w:szCs w:val="24"/>
              </w:rPr>
              <w:t>ormative tecniche e le prescrizioni di legge</w:t>
            </w:r>
          </w:p>
          <w:p w:rsidR="00876917" w:rsidRP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876917" w:rsidRDefault="00876917" w:rsidP="00B52024">
            <w:pPr>
              <w:rPr>
                <w:rFonts w:ascii="Verdana" w:eastAsia="Times New Roman" w:hAnsi="Verdana"/>
                <w:b/>
                <w:bCs/>
                <w:color w:val="CC0000"/>
                <w:sz w:val="20"/>
                <w:szCs w:val="20"/>
                <w:lang w:eastAsia="it-IT"/>
              </w:rPr>
            </w:pPr>
          </w:p>
          <w:p w:rsidR="00876917" w:rsidRDefault="00876917" w:rsidP="00B52024">
            <w:pPr>
              <w:rPr>
                <w:rFonts w:ascii="Verdana" w:eastAsia="Times New Roman" w:hAnsi="Verdana"/>
                <w:b/>
                <w:bCs/>
                <w:color w:val="CC0000"/>
                <w:sz w:val="20"/>
                <w:szCs w:val="20"/>
                <w:lang w:eastAsia="it-IT"/>
              </w:rPr>
            </w:pPr>
          </w:p>
          <w:p w:rsidR="00876917" w:rsidRDefault="00876917" w:rsidP="00B52024">
            <w:pPr>
              <w:rPr>
                <w:rFonts w:ascii="Verdana" w:eastAsia="Times New Roman" w:hAnsi="Verdana"/>
                <w:b/>
                <w:bCs/>
                <w:color w:val="CC0000"/>
                <w:sz w:val="20"/>
                <w:szCs w:val="20"/>
                <w:lang w:eastAsia="it-IT"/>
              </w:rPr>
            </w:pPr>
          </w:p>
          <w:p w:rsid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  <w:r w:rsidRPr="00876917">
              <w:rPr>
                <w:rFonts w:ascii="Verdana" w:hAnsi="Verdana"/>
                <w:sz w:val="24"/>
                <w:szCs w:val="24"/>
              </w:rPr>
              <w:t>R</w:t>
            </w:r>
            <w:r w:rsidRPr="002B79F8">
              <w:rPr>
                <w:rFonts w:ascii="Verdana" w:hAnsi="Verdana"/>
                <w:sz w:val="24"/>
                <w:szCs w:val="24"/>
              </w:rPr>
              <w:t>egola d’arte del mezzo di trasporto e degli impianti relativi</w:t>
            </w:r>
          </w:p>
          <w:p w:rsid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785AE6" w:rsidRPr="002E4BE8" w:rsidRDefault="00876917" w:rsidP="00876917">
            <w:pPr>
              <w:rPr>
                <w:rFonts w:ascii="Verdana" w:hAnsi="Verdana"/>
                <w:sz w:val="24"/>
                <w:szCs w:val="24"/>
              </w:rPr>
            </w:pPr>
            <w:r w:rsidRPr="00876917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3909" w:type="dxa"/>
          </w:tcPr>
          <w:p w:rsidR="00876917" w:rsidRDefault="00785AE6" w:rsidP="00B52024">
            <w:pPr>
              <w:rPr>
                <w:rFonts w:ascii="Verdana" w:hAnsi="Verdana"/>
                <w:sz w:val="24"/>
                <w:szCs w:val="24"/>
              </w:rPr>
            </w:pPr>
            <w:r w:rsidRPr="002E4BE8">
              <w:rPr>
                <w:rFonts w:ascii="Verdana" w:hAnsi="Verdana"/>
                <w:sz w:val="24"/>
                <w:szCs w:val="24"/>
              </w:rPr>
              <w:t xml:space="preserve">Saper </w:t>
            </w:r>
            <w:r w:rsidR="00876917" w:rsidRPr="002B79F8">
              <w:rPr>
                <w:rFonts w:ascii="Verdana" w:hAnsi="Verdana"/>
                <w:sz w:val="24"/>
                <w:szCs w:val="24"/>
              </w:rPr>
              <w:t>certificare la messa a punto a regola d’arte del mezzo di trasporto e degli impianti relativi</w:t>
            </w:r>
          </w:p>
          <w:p w:rsid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876917" w:rsidRDefault="00876917" w:rsidP="00B52024">
            <w:pPr>
              <w:rPr>
                <w:rFonts w:ascii="Verdana" w:hAnsi="Verdana"/>
                <w:sz w:val="24"/>
                <w:szCs w:val="24"/>
              </w:rPr>
            </w:pPr>
          </w:p>
          <w:p w:rsidR="00876917" w:rsidRDefault="00876917" w:rsidP="0087691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Saper </w:t>
            </w:r>
            <w:r w:rsidRPr="002B79F8">
              <w:rPr>
                <w:rFonts w:ascii="Verdana" w:hAnsi="Verdana"/>
                <w:sz w:val="24"/>
                <w:szCs w:val="24"/>
              </w:rPr>
              <w:t>interpretare e analizzare la documentazione tecnica relativa al mezzo di trasporto</w:t>
            </w:r>
          </w:p>
          <w:p w:rsidR="00D94198" w:rsidRPr="002E4BE8" w:rsidRDefault="00D94198" w:rsidP="00876917">
            <w:pPr>
              <w:rPr>
                <w:rFonts w:ascii="Verdana" w:hAnsi="Verdana"/>
                <w:sz w:val="24"/>
                <w:szCs w:val="24"/>
              </w:rPr>
            </w:pPr>
          </w:p>
          <w:p w:rsidR="00D94198" w:rsidRPr="002E4BE8" w:rsidRDefault="00D94198" w:rsidP="00D94198">
            <w:pPr>
              <w:rPr>
                <w:rFonts w:ascii="Verdana" w:hAnsi="Verdana"/>
                <w:sz w:val="24"/>
                <w:szCs w:val="24"/>
              </w:rPr>
            </w:pPr>
            <w:r w:rsidRPr="002E4BE8">
              <w:rPr>
                <w:rFonts w:ascii="Verdana" w:hAnsi="Verdana"/>
                <w:sz w:val="24"/>
                <w:szCs w:val="24"/>
              </w:rPr>
              <w:t xml:space="preserve">Saper correggere errori </w:t>
            </w:r>
          </w:p>
          <w:p w:rsidR="00785AE6" w:rsidRPr="002E4BE8" w:rsidRDefault="00785AE6" w:rsidP="00B52024">
            <w:pPr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458B6"/>
    <w:multiLevelType w:val="hybridMultilevel"/>
    <w:tmpl w:val="F36AEC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B13A0"/>
    <w:multiLevelType w:val="hybridMultilevel"/>
    <w:tmpl w:val="0DDCF0C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9D7144"/>
    <w:multiLevelType w:val="hybridMultilevel"/>
    <w:tmpl w:val="0BC60578"/>
    <w:lvl w:ilvl="0" w:tplc="D58E24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3117D2"/>
    <w:multiLevelType w:val="hybridMultilevel"/>
    <w:tmpl w:val="6AC2EF6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DE8FC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7415D6"/>
    <w:multiLevelType w:val="hybridMultilevel"/>
    <w:tmpl w:val="CF2414C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C234D"/>
    <w:multiLevelType w:val="hybridMultilevel"/>
    <w:tmpl w:val="0010BDB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5CB"/>
    <w:rsid w:val="000A23A6"/>
    <w:rsid w:val="000E0178"/>
    <w:rsid w:val="000E57C3"/>
    <w:rsid w:val="000F6563"/>
    <w:rsid w:val="00104F58"/>
    <w:rsid w:val="00106315"/>
    <w:rsid w:val="00114F70"/>
    <w:rsid w:val="00120D2E"/>
    <w:rsid w:val="00130643"/>
    <w:rsid w:val="00150CDE"/>
    <w:rsid w:val="00152DE9"/>
    <w:rsid w:val="001642D3"/>
    <w:rsid w:val="00170E05"/>
    <w:rsid w:val="001B41BD"/>
    <w:rsid w:val="001E62F6"/>
    <w:rsid w:val="001E6A9F"/>
    <w:rsid w:val="00207266"/>
    <w:rsid w:val="00207972"/>
    <w:rsid w:val="002172B3"/>
    <w:rsid w:val="00236B94"/>
    <w:rsid w:val="00245029"/>
    <w:rsid w:val="002A61E3"/>
    <w:rsid w:val="002D1162"/>
    <w:rsid w:val="00307133"/>
    <w:rsid w:val="00333E4B"/>
    <w:rsid w:val="003725CC"/>
    <w:rsid w:val="003A7532"/>
    <w:rsid w:val="003B69A1"/>
    <w:rsid w:val="0040216B"/>
    <w:rsid w:val="00431B00"/>
    <w:rsid w:val="004629B6"/>
    <w:rsid w:val="00474676"/>
    <w:rsid w:val="00475498"/>
    <w:rsid w:val="00497D49"/>
    <w:rsid w:val="004A4493"/>
    <w:rsid w:val="004F26B7"/>
    <w:rsid w:val="004F56B5"/>
    <w:rsid w:val="00501E06"/>
    <w:rsid w:val="005068EB"/>
    <w:rsid w:val="005133D1"/>
    <w:rsid w:val="0052084B"/>
    <w:rsid w:val="005225F0"/>
    <w:rsid w:val="00561489"/>
    <w:rsid w:val="005A1A79"/>
    <w:rsid w:val="005A400E"/>
    <w:rsid w:val="005D10F7"/>
    <w:rsid w:val="005E009C"/>
    <w:rsid w:val="005E5BD3"/>
    <w:rsid w:val="0061484B"/>
    <w:rsid w:val="00615355"/>
    <w:rsid w:val="0062264B"/>
    <w:rsid w:val="0068160C"/>
    <w:rsid w:val="006978C6"/>
    <w:rsid w:val="006B2ED2"/>
    <w:rsid w:val="006B4B7D"/>
    <w:rsid w:val="006E5B32"/>
    <w:rsid w:val="006F5A70"/>
    <w:rsid w:val="007025E6"/>
    <w:rsid w:val="00704D39"/>
    <w:rsid w:val="007169C0"/>
    <w:rsid w:val="00720279"/>
    <w:rsid w:val="00727B07"/>
    <w:rsid w:val="00784E3C"/>
    <w:rsid w:val="00785AE6"/>
    <w:rsid w:val="00797C0E"/>
    <w:rsid w:val="007D045E"/>
    <w:rsid w:val="007F6AA7"/>
    <w:rsid w:val="008207CF"/>
    <w:rsid w:val="008239B4"/>
    <w:rsid w:val="00856BF3"/>
    <w:rsid w:val="008642B4"/>
    <w:rsid w:val="00876917"/>
    <w:rsid w:val="0089624D"/>
    <w:rsid w:val="008E0508"/>
    <w:rsid w:val="008E0A59"/>
    <w:rsid w:val="00923A18"/>
    <w:rsid w:val="009365F1"/>
    <w:rsid w:val="00944869"/>
    <w:rsid w:val="00984FE4"/>
    <w:rsid w:val="009A0FAE"/>
    <w:rsid w:val="009A2069"/>
    <w:rsid w:val="009D0EE5"/>
    <w:rsid w:val="009F76E8"/>
    <w:rsid w:val="00A277EC"/>
    <w:rsid w:val="00A46CA8"/>
    <w:rsid w:val="00A645E3"/>
    <w:rsid w:val="00A704E4"/>
    <w:rsid w:val="00A74306"/>
    <w:rsid w:val="00A86AA7"/>
    <w:rsid w:val="00AE7807"/>
    <w:rsid w:val="00AF7CFB"/>
    <w:rsid w:val="00B52024"/>
    <w:rsid w:val="00B726A3"/>
    <w:rsid w:val="00B73AA8"/>
    <w:rsid w:val="00B76D54"/>
    <w:rsid w:val="00B87125"/>
    <w:rsid w:val="00C41813"/>
    <w:rsid w:val="00C4470D"/>
    <w:rsid w:val="00C912E7"/>
    <w:rsid w:val="00C95B52"/>
    <w:rsid w:val="00CC0405"/>
    <w:rsid w:val="00CE7EA6"/>
    <w:rsid w:val="00CF3EE5"/>
    <w:rsid w:val="00D15C6A"/>
    <w:rsid w:val="00D251B6"/>
    <w:rsid w:val="00D34483"/>
    <w:rsid w:val="00D73230"/>
    <w:rsid w:val="00D85B56"/>
    <w:rsid w:val="00D94198"/>
    <w:rsid w:val="00DA4E6C"/>
    <w:rsid w:val="00DC0F44"/>
    <w:rsid w:val="00DC5BD6"/>
    <w:rsid w:val="00E000D4"/>
    <w:rsid w:val="00E00278"/>
    <w:rsid w:val="00E20CCB"/>
    <w:rsid w:val="00E31F87"/>
    <w:rsid w:val="00E424D1"/>
    <w:rsid w:val="00E4621F"/>
    <w:rsid w:val="00E83D9A"/>
    <w:rsid w:val="00E83F73"/>
    <w:rsid w:val="00E94C4F"/>
    <w:rsid w:val="00EA43CF"/>
    <w:rsid w:val="00EA5285"/>
    <w:rsid w:val="00EB638A"/>
    <w:rsid w:val="00ED5847"/>
    <w:rsid w:val="00F15E0D"/>
    <w:rsid w:val="00F174AD"/>
    <w:rsid w:val="00F34703"/>
    <w:rsid w:val="00F41856"/>
    <w:rsid w:val="00F932B6"/>
    <w:rsid w:val="00F932D3"/>
    <w:rsid w:val="00FF1464"/>
    <w:rsid w:val="00FF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AFDB00-72A0-4339-8790-FCABF1B2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D5847"/>
    <w:pPr>
      <w:ind w:left="720"/>
      <w:contextualSpacing/>
    </w:pPr>
  </w:style>
  <w:style w:type="paragraph" w:styleId="NormaleWeb">
    <w:name w:val="Normal (Web)"/>
    <w:basedOn w:val="Normale"/>
    <w:rsid w:val="00797C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C22CA-336E-40D6-9823-59B8E640C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1337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8943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2018-04-07T07:42:00Z</dcterms:created>
  <dcterms:modified xsi:type="dcterms:W3CDTF">2018-04-07T07:42:00Z</dcterms:modified>
</cp:coreProperties>
</file>